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33AA9128" w14:textId="77777777" w:rsidTr="00506DA9">
        <w:trPr>
          <w:tblCellSpacing w:w="0" w:type="dxa"/>
        </w:trPr>
        <w:tc>
          <w:tcPr>
            <w:tcW w:w="0" w:type="auto"/>
            <w:tcBorders>
              <w:bottom w:val="single" w:sz="4" w:space="0" w:color="A6A6A6" w:themeColor="background1" w:themeShade="A6"/>
            </w:tcBorders>
          </w:tcPr>
          <w:p w14:paraId="0BEAF5BE" w14:textId="77777777" w:rsidR="00506DA9" w:rsidRPr="006D4649" w:rsidRDefault="00596665" w:rsidP="00506DA9">
            <w:pPr>
              <w:rPr>
                <w:i/>
                <w:sz w:val="24"/>
                <w:szCs w:val="24"/>
              </w:rPr>
            </w:pPr>
            <w:r>
              <w:rPr>
                <w:i/>
                <w:noProof/>
                <w:sz w:val="24"/>
                <w:szCs w:val="24"/>
              </w:rPr>
              <w:drawing>
                <wp:inline distT="0" distB="0" distL="0" distR="0" wp14:anchorId="4B52BC85" wp14:editId="40170AA4">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4FE23225" w14:textId="77777777" w:rsidR="00506DA9" w:rsidRPr="00AA1410" w:rsidRDefault="00506DA9" w:rsidP="00506DA9">
            <w:pPr>
              <w:rPr>
                <w:sz w:val="24"/>
                <w:szCs w:val="24"/>
              </w:rPr>
            </w:pPr>
          </w:p>
        </w:tc>
      </w:tr>
      <w:tr w:rsidR="00506DA9" w:rsidRPr="00B70EAE" w14:paraId="5F1D7EB2" w14:textId="77777777" w:rsidTr="00813443">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65"/>
              <w:gridCol w:w="1505"/>
            </w:tblGrid>
            <w:tr w:rsidR="00506DA9" w:rsidRPr="00AA1410" w14:paraId="633E1D13" w14:textId="77777777" w:rsidTr="00EA2814">
              <w:trPr>
                <w:tblCellSpacing w:w="0" w:type="dxa"/>
              </w:trPr>
              <w:tc>
                <w:tcPr>
                  <w:tcW w:w="0" w:type="auto"/>
                  <w:tcBorders>
                    <w:bottom w:val="single" w:sz="4" w:space="0" w:color="A6A6A6" w:themeColor="background1" w:themeShade="A6"/>
                  </w:tcBorders>
                  <w:vAlign w:val="bottom"/>
                  <w:hideMark/>
                </w:tcPr>
                <w:p w14:paraId="318F6B99"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661F8BAB" w14:textId="03F90924" w:rsidR="00506DA9" w:rsidRPr="00AA1410" w:rsidRDefault="00425801"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(DATE)</w:t>
                  </w:r>
                </w:p>
              </w:tc>
            </w:tr>
            <w:tr w:rsidR="00506DA9" w:rsidRPr="00AA1410" w14:paraId="588291B0" w14:textId="77777777" w:rsidTr="002E7438">
              <w:trPr>
                <w:trHeight w:val="2493"/>
                <w:tblCellSpacing w:w="0" w:type="dxa"/>
              </w:trPr>
              <w:tc>
                <w:tcPr>
                  <w:tcW w:w="0" w:type="auto"/>
                  <w:gridSpan w:val="2"/>
                  <w:tcBorders>
                    <w:bottom w:val="single" w:sz="4" w:space="0" w:color="A6A6A6" w:themeColor="background1" w:themeShade="A6"/>
                  </w:tcBorders>
                  <w:vAlign w:val="center"/>
                  <w:hideMark/>
                </w:tcPr>
                <w:p w14:paraId="60EE48B4" w14:textId="77777777" w:rsidR="00506DA9" w:rsidRPr="00383BF5" w:rsidRDefault="00506DA9" w:rsidP="00506DA9">
                  <w:pPr>
                    <w:spacing w:after="0" w:line="240" w:lineRule="auto"/>
                    <w:rPr>
                      <w:rFonts w:ascii="Gill Sans MT" w:eastAsia="Times New Roman" w:hAnsi="Gill Sans MT" w:cs="Arial"/>
                    </w:rPr>
                  </w:pPr>
                  <w:r w:rsidRPr="00383BF5">
                    <w:rPr>
                      <w:rFonts w:ascii="Gill Sans MT" w:eastAsia="Times New Roman" w:hAnsi="Gill Sans MT" w:cs="Arial"/>
                      <w:b/>
                      <w:bCs/>
                    </w:rPr>
                    <w:t xml:space="preserve">Local Contact: </w:t>
                  </w:r>
                  <w:r w:rsidR="00480446" w:rsidRPr="00383BF5">
                    <w:rPr>
                      <w:rFonts w:ascii="Gill Sans MT" w:eastAsia="Times New Roman" w:hAnsi="Gill Sans MT" w:cs="Arial"/>
                    </w:rPr>
                    <w:t>(</w:t>
                  </w:r>
                  <w:r w:rsidRPr="00383BF5">
                    <w:rPr>
                      <w:rFonts w:ascii="Gill Sans MT" w:eastAsia="Times New Roman" w:hAnsi="Gill Sans MT" w:cs="Arial"/>
                    </w:rPr>
                    <w:t>Name</w:t>
                  </w:r>
                  <w:r w:rsidR="00480446" w:rsidRPr="00383BF5">
                    <w:rPr>
                      <w:rFonts w:ascii="Gill Sans MT" w:eastAsia="Times New Roman" w:hAnsi="Gill Sans MT" w:cs="Arial"/>
                    </w:rPr>
                    <w:t>)</w:t>
                  </w:r>
                  <w:r w:rsidR="00480446" w:rsidRPr="00383BF5">
                    <w:rPr>
                      <w:rFonts w:ascii="Gill Sans MT" w:eastAsia="Times New Roman" w:hAnsi="Gill Sans MT" w:cs="Arial"/>
                    </w:rPr>
                    <w:br/>
                    <w:t>(Organization)</w:t>
                  </w:r>
                  <w:r w:rsidRPr="00383BF5">
                    <w:rPr>
                      <w:rFonts w:ascii="Gill Sans MT" w:eastAsia="Times New Roman" w:hAnsi="Gill Sans MT" w:cs="Arial"/>
                    </w:rPr>
                    <w:br/>
                  </w:r>
                  <w:r w:rsidR="00480446" w:rsidRPr="00383BF5">
                    <w:rPr>
                      <w:rFonts w:ascii="Gill Sans MT" w:eastAsia="Times New Roman" w:hAnsi="Gill Sans MT" w:cs="Arial"/>
                    </w:rPr>
                    <w:t>(Phone number)</w:t>
                  </w:r>
                </w:p>
                <w:p w14:paraId="30680353" w14:textId="77777777" w:rsidR="00506DA9" w:rsidRPr="00383BF5" w:rsidRDefault="00480446" w:rsidP="00506DA9">
                  <w:pPr>
                    <w:spacing w:after="0" w:line="240" w:lineRule="auto"/>
                    <w:rPr>
                      <w:rFonts w:ascii="Gill Sans MT" w:eastAsia="Times New Roman" w:hAnsi="Gill Sans MT" w:cs="Arial"/>
                    </w:rPr>
                  </w:pPr>
                  <w:r w:rsidRPr="00383BF5">
                    <w:rPr>
                      <w:rFonts w:ascii="Gill Sans MT" w:eastAsia="Times New Roman" w:hAnsi="Gill Sans MT" w:cs="Arial"/>
                    </w:rPr>
                    <w:t>(email address)</w:t>
                  </w:r>
                </w:p>
                <w:p w14:paraId="21544A24" w14:textId="77777777" w:rsidR="00506DA9" w:rsidRPr="00383BF5" w:rsidRDefault="00506DA9" w:rsidP="00506DA9">
                  <w:pPr>
                    <w:spacing w:after="0" w:line="240" w:lineRule="auto"/>
                    <w:rPr>
                      <w:rFonts w:ascii="Gill Sans MT" w:eastAsia="Times New Roman" w:hAnsi="Gill Sans MT" w:cs="Arial"/>
                    </w:rPr>
                  </w:pPr>
                </w:p>
                <w:p w14:paraId="502E5BD8" w14:textId="77777777" w:rsidR="002E7438" w:rsidRPr="002E7438" w:rsidRDefault="002E7438" w:rsidP="002E7438">
                  <w:pPr>
                    <w:spacing w:after="0" w:line="240" w:lineRule="auto"/>
                    <w:rPr>
                      <w:rFonts w:ascii="Gill Sans MT" w:eastAsia="Times New Roman" w:hAnsi="Gill Sans MT" w:cs="Arial"/>
                      <w:sz w:val="24"/>
                      <w:szCs w:val="24"/>
                    </w:rPr>
                  </w:pPr>
                  <w:r w:rsidRPr="002E7438">
                    <w:rPr>
                      <w:rFonts w:ascii="Gill Sans MT" w:eastAsia="Times New Roman" w:hAnsi="Gill Sans MT" w:cs="Arial"/>
                      <w:b/>
                      <w:sz w:val="24"/>
                      <w:szCs w:val="24"/>
                    </w:rPr>
                    <w:t>Awards Contact:</w:t>
                  </w:r>
                  <w:r w:rsidRPr="002E7438">
                    <w:rPr>
                      <w:rFonts w:ascii="Gill Sans MT" w:eastAsia="Times New Roman" w:hAnsi="Gill Sans MT" w:cs="Arial"/>
                      <w:sz w:val="24"/>
                      <w:szCs w:val="24"/>
                    </w:rPr>
                    <w:t xml:space="preserve"> Selma Tucker</w:t>
                  </w:r>
                </w:p>
                <w:p w14:paraId="1D865D1D" w14:textId="77777777" w:rsidR="002E7438" w:rsidRPr="002E7438" w:rsidRDefault="002E7438" w:rsidP="002E7438">
                  <w:pPr>
                    <w:spacing w:after="0" w:line="240" w:lineRule="auto"/>
                    <w:rPr>
                      <w:rFonts w:ascii="Gill Sans MT" w:eastAsia="Times New Roman" w:hAnsi="Gill Sans MT" w:cs="Arial"/>
                      <w:sz w:val="24"/>
                      <w:szCs w:val="24"/>
                    </w:rPr>
                  </w:pPr>
                  <w:r w:rsidRPr="002E7438">
                    <w:rPr>
                      <w:rFonts w:ascii="Gill Sans MT" w:eastAsia="Times New Roman" w:hAnsi="Gill Sans MT" w:cs="Arial"/>
                      <w:sz w:val="24"/>
                      <w:szCs w:val="24"/>
                    </w:rPr>
                    <w:t>Michigan Saves</w:t>
                  </w:r>
                </w:p>
                <w:p w14:paraId="46AEEDBD" w14:textId="77777777" w:rsidR="002E7438" w:rsidRPr="002E7438" w:rsidRDefault="002E7438" w:rsidP="002E7438">
                  <w:pPr>
                    <w:spacing w:after="0" w:line="240" w:lineRule="auto"/>
                    <w:rPr>
                      <w:rFonts w:ascii="Gill Sans MT" w:eastAsia="Times New Roman" w:hAnsi="Gill Sans MT" w:cs="Arial"/>
                      <w:sz w:val="24"/>
                      <w:szCs w:val="24"/>
                    </w:rPr>
                  </w:pPr>
                  <w:r w:rsidRPr="002E7438">
                    <w:rPr>
                      <w:rFonts w:ascii="Gill Sans MT" w:eastAsia="Times New Roman" w:hAnsi="Gill Sans MT" w:cs="Arial"/>
                      <w:sz w:val="24"/>
                      <w:szCs w:val="24"/>
                    </w:rPr>
                    <w:t>517-484-6474</w:t>
                  </w:r>
                </w:p>
                <w:p w14:paraId="525D1885" w14:textId="3FE33B16" w:rsidR="004A68D9" w:rsidRPr="00AA1410" w:rsidRDefault="002E7438" w:rsidP="002E7438">
                  <w:pPr>
                    <w:spacing w:after="0" w:line="240" w:lineRule="auto"/>
                    <w:rPr>
                      <w:rFonts w:ascii="Helvetica" w:eastAsia="Times New Roman" w:hAnsi="Helvetica" w:cs="Arial"/>
                      <w:sz w:val="20"/>
                      <w:szCs w:val="24"/>
                    </w:rPr>
                  </w:pPr>
                  <w:r w:rsidRPr="002E7438">
                    <w:rPr>
                      <w:rFonts w:ascii="Gill Sans MT" w:eastAsia="Times New Roman" w:hAnsi="Gill Sans MT" w:cs="Arial"/>
                      <w:sz w:val="24"/>
                      <w:szCs w:val="24"/>
                    </w:rPr>
                    <w:t>stucker@michigansaves.org</w:t>
                  </w:r>
                </w:p>
              </w:tc>
            </w:tr>
          </w:tbl>
          <w:p w14:paraId="241BF1F1" w14:textId="77777777" w:rsidR="00506DA9" w:rsidRPr="00AA1410" w:rsidRDefault="00506DA9" w:rsidP="00506DA9">
            <w:pPr>
              <w:pStyle w:val="PSCHeading2"/>
              <w:spacing w:after="240"/>
              <w:jc w:val="center"/>
              <w:rPr>
                <w:rFonts w:ascii="Helvetica" w:hAnsi="Helvetica"/>
              </w:rPr>
            </w:pPr>
          </w:p>
        </w:tc>
      </w:tr>
    </w:tbl>
    <w:p w14:paraId="09924BD5" w14:textId="77777777" w:rsidR="00B70EAE" w:rsidRPr="00B70EAE" w:rsidRDefault="00B70EAE" w:rsidP="00B70EAE">
      <w:pPr>
        <w:jc w:val="center"/>
        <w:rPr>
          <w:rFonts w:ascii="Helvetica" w:hAnsi="Helvetica"/>
          <w:b/>
          <w:sz w:val="24"/>
          <w:szCs w:val="24"/>
        </w:rPr>
      </w:pPr>
    </w:p>
    <w:p w14:paraId="14F32225" w14:textId="0221B6CD" w:rsidR="00B70EAE" w:rsidRPr="00383BF5" w:rsidRDefault="00D00472" w:rsidP="002E7438">
      <w:pPr>
        <w:pStyle w:val="NoSpacing"/>
        <w:jc w:val="center"/>
        <w:rPr>
          <w:rFonts w:ascii="Gill Sans MT" w:hAnsi="Gill Sans MT" w:cs="Times New Roman"/>
          <w:b/>
          <w:sz w:val="36"/>
          <w:szCs w:val="36"/>
        </w:rPr>
      </w:pPr>
      <w:r w:rsidRPr="00383BF5">
        <w:rPr>
          <w:rFonts w:ascii="Gill Sans MT" w:hAnsi="Gill Sans MT" w:cs="Times New Roman"/>
          <w:b/>
          <w:sz w:val="36"/>
          <w:szCs w:val="36"/>
        </w:rPr>
        <w:t xml:space="preserve">Governor Recognizes </w:t>
      </w:r>
      <w:r w:rsidR="002E7438">
        <w:rPr>
          <w:rFonts w:ascii="Gill Sans MT" w:hAnsi="Gill Sans MT" w:cs="Times New Roman"/>
          <w:b/>
          <w:sz w:val="36"/>
          <w:szCs w:val="36"/>
        </w:rPr>
        <w:t>Continental Dairy Facilities of Coopersville for</w:t>
      </w:r>
      <w:r w:rsidR="00B70EAE" w:rsidRPr="00383BF5">
        <w:rPr>
          <w:rFonts w:ascii="Gill Sans MT" w:hAnsi="Gill Sans MT" w:cs="Times New Roman"/>
          <w:b/>
          <w:sz w:val="36"/>
          <w:szCs w:val="36"/>
        </w:rPr>
        <w:t xml:space="preserve"> </w:t>
      </w:r>
      <w:r w:rsidRPr="00383BF5">
        <w:rPr>
          <w:rFonts w:ascii="Gill Sans MT" w:hAnsi="Gill Sans MT" w:cs="Times New Roman"/>
          <w:b/>
          <w:sz w:val="36"/>
          <w:szCs w:val="36"/>
        </w:rPr>
        <w:t>Reducing</w:t>
      </w:r>
      <w:r w:rsidR="00B70EAE" w:rsidRPr="00383BF5">
        <w:rPr>
          <w:rFonts w:ascii="Gill Sans MT" w:hAnsi="Gill Sans MT" w:cs="Times New Roman"/>
          <w:b/>
          <w:sz w:val="36"/>
          <w:szCs w:val="36"/>
        </w:rPr>
        <w:t xml:space="preserve"> Energy Waste</w:t>
      </w:r>
    </w:p>
    <w:p w14:paraId="4E71B04B" w14:textId="77777777" w:rsidR="005430E9" w:rsidRPr="00383BF5" w:rsidRDefault="005430E9" w:rsidP="00D00472">
      <w:pPr>
        <w:pStyle w:val="NoSpacing"/>
        <w:jc w:val="center"/>
        <w:rPr>
          <w:rFonts w:ascii="Gill Sans MT" w:hAnsi="Gill Sans MT" w:cs="Times New Roman"/>
          <w:i/>
          <w:sz w:val="18"/>
          <w:szCs w:val="18"/>
        </w:rPr>
      </w:pPr>
    </w:p>
    <w:p w14:paraId="7A8518B1" w14:textId="6F6277C0" w:rsidR="00D00472" w:rsidRPr="00383BF5" w:rsidRDefault="00415897" w:rsidP="00D00472">
      <w:pPr>
        <w:pStyle w:val="NoSpacing"/>
        <w:jc w:val="center"/>
        <w:rPr>
          <w:rFonts w:ascii="Gill Sans MT" w:hAnsi="Gill Sans MT" w:cs="Times New Roman"/>
          <w:i/>
          <w:sz w:val="28"/>
          <w:szCs w:val="28"/>
        </w:rPr>
      </w:pPr>
      <w:r w:rsidRPr="00383BF5">
        <w:rPr>
          <w:rFonts w:ascii="Gill Sans MT" w:hAnsi="Gill Sans MT" w:cs="Times New Roman"/>
          <w:i/>
          <w:sz w:val="28"/>
          <w:szCs w:val="28"/>
        </w:rPr>
        <w:t xml:space="preserve">Best </w:t>
      </w:r>
      <w:r w:rsidR="009D7790" w:rsidRPr="00383BF5">
        <w:rPr>
          <w:rFonts w:ascii="Gill Sans MT" w:hAnsi="Gill Sans MT" w:cs="Times New Roman"/>
          <w:i/>
          <w:sz w:val="28"/>
          <w:szCs w:val="28"/>
        </w:rPr>
        <w:t xml:space="preserve">Agriculture </w:t>
      </w:r>
      <w:r w:rsidR="006970A0">
        <w:rPr>
          <w:rFonts w:ascii="Gill Sans MT" w:hAnsi="Gill Sans MT" w:cs="Times New Roman"/>
          <w:i/>
          <w:sz w:val="28"/>
          <w:szCs w:val="28"/>
        </w:rPr>
        <w:t>Project</w:t>
      </w:r>
      <w:r w:rsidR="006970A0" w:rsidRPr="00383BF5">
        <w:rPr>
          <w:rFonts w:ascii="Gill Sans MT" w:hAnsi="Gill Sans MT" w:cs="Times New Roman"/>
          <w:i/>
          <w:sz w:val="28"/>
          <w:szCs w:val="28"/>
        </w:rPr>
        <w:t xml:space="preserve"> </w:t>
      </w:r>
      <w:r w:rsidR="00D00472" w:rsidRPr="00383BF5">
        <w:rPr>
          <w:rFonts w:ascii="Gill Sans MT" w:hAnsi="Gill Sans MT" w:cs="Times New Roman"/>
          <w:i/>
          <w:sz w:val="28"/>
          <w:szCs w:val="28"/>
        </w:rPr>
        <w:t>in</w:t>
      </w:r>
      <w:r w:rsidR="00E7264F" w:rsidRPr="00383BF5">
        <w:rPr>
          <w:rFonts w:ascii="Gill Sans MT" w:hAnsi="Gill Sans MT" w:cs="Times New Roman"/>
          <w:i/>
          <w:sz w:val="28"/>
          <w:szCs w:val="28"/>
        </w:rPr>
        <w:t xml:space="preserve"> </w:t>
      </w:r>
      <w:r w:rsidR="002E7438">
        <w:rPr>
          <w:rFonts w:ascii="Gill Sans MT" w:hAnsi="Gill Sans MT" w:cs="Times New Roman"/>
          <w:i/>
          <w:sz w:val="28"/>
          <w:szCs w:val="28"/>
        </w:rPr>
        <w:t>Fourth</w:t>
      </w:r>
      <w:r w:rsidR="00E7264F" w:rsidRPr="00383BF5">
        <w:rPr>
          <w:rFonts w:ascii="Gill Sans MT" w:hAnsi="Gill Sans MT" w:cs="Times New Roman"/>
          <w:i/>
          <w:sz w:val="28"/>
          <w:szCs w:val="28"/>
        </w:rPr>
        <w:t xml:space="preserve"> Annual</w:t>
      </w:r>
    </w:p>
    <w:p w14:paraId="5F112A45" w14:textId="5B21A450" w:rsidR="00B70EAE" w:rsidRPr="00383BF5" w:rsidRDefault="00E7264F" w:rsidP="00D00472">
      <w:pPr>
        <w:pStyle w:val="NoSpacing"/>
        <w:jc w:val="center"/>
        <w:rPr>
          <w:rFonts w:ascii="Gill Sans MT" w:hAnsi="Gill Sans MT" w:cs="Times New Roman"/>
          <w:i/>
          <w:sz w:val="28"/>
          <w:szCs w:val="28"/>
        </w:rPr>
      </w:pPr>
      <w:r w:rsidRPr="00383BF5">
        <w:rPr>
          <w:rFonts w:ascii="Gill Sans MT" w:hAnsi="Gill Sans MT" w:cs="Times New Roman"/>
          <w:i/>
          <w:sz w:val="28"/>
          <w:szCs w:val="28"/>
        </w:rPr>
        <w:t>Governor’s Energy Excellence Awards</w:t>
      </w:r>
    </w:p>
    <w:p w14:paraId="308F8F88" w14:textId="77777777" w:rsidR="00D00472" w:rsidRPr="00D00472" w:rsidRDefault="00D00472" w:rsidP="00D00472">
      <w:pPr>
        <w:pStyle w:val="NoSpacing"/>
        <w:jc w:val="center"/>
        <w:rPr>
          <w:rFonts w:ascii="Times New Roman" w:hAnsi="Times New Roman" w:cs="Times New Roman"/>
          <w:i/>
          <w:sz w:val="28"/>
          <w:szCs w:val="28"/>
        </w:rPr>
      </w:pPr>
    </w:p>
    <w:p w14:paraId="0E820E8E" w14:textId="2B7E27CD" w:rsidR="002D6BB0" w:rsidRPr="00383BF5" w:rsidRDefault="00B70EAE" w:rsidP="00B70EAE">
      <w:pPr>
        <w:rPr>
          <w:rFonts w:ascii="Gill Sans MT" w:hAnsi="Gill Sans MT" w:cs="Times New Roman"/>
          <w:sz w:val="24"/>
          <w:szCs w:val="24"/>
        </w:rPr>
      </w:pPr>
      <w:r w:rsidRPr="00383BF5">
        <w:rPr>
          <w:rFonts w:ascii="Gill Sans MT" w:hAnsi="Gill Sans MT" w:cs="Times New Roman"/>
          <w:b/>
          <w:sz w:val="24"/>
          <w:szCs w:val="24"/>
        </w:rPr>
        <w:t>LANSING</w:t>
      </w:r>
      <w:r w:rsidR="00245966" w:rsidRPr="00383BF5">
        <w:rPr>
          <w:rFonts w:ascii="Gill Sans MT" w:hAnsi="Gill Sans MT" w:cs="Times New Roman"/>
          <w:b/>
          <w:sz w:val="24"/>
          <w:szCs w:val="24"/>
        </w:rPr>
        <w:t>, Mich.</w:t>
      </w:r>
      <w:r w:rsidR="006D4649" w:rsidRPr="00383BF5">
        <w:rPr>
          <w:rFonts w:ascii="Gill Sans MT" w:hAnsi="Gill Sans MT" w:cs="Times New Roman"/>
          <w:b/>
          <w:sz w:val="24"/>
          <w:szCs w:val="24"/>
        </w:rPr>
        <w:t xml:space="preserve"> </w:t>
      </w:r>
      <w:r w:rsidRPr="00383BF5">
        <w:rPr>
          <w:rFonts w:ascii="Gill Sans MT" w:hAnsi="Gill Sans MT" w:cs="Times New Roman"/>
          <w:sz w:val="24"/>
          <w:szCs w:val="24"/>
        </w:rPr>
        <w:t>—</w:t>
      </w:r>
      <w:r w:rsidR="006D4649" w:rsidRPr="00383BF5">
        <w:rPr>
          <w:rFonts w:ascii="Gill Sans MT" w:hAnsi="Gill Sans MT" w:cs="Times New Roman"/>
          <w:sz w:val="24"/>
          <w:szCs w:val="24"/>
        </w:rPr>
        <w:t xml:space="preserve"> </w:t>
      </w:r>
      <w:r w:rsidR="002E7438">
        <w:rPr>
          <w:rFonts w:ascii="Gill Sans MT" w:hAnsi="Gill Sans MT" w:cs="Times New Roman"/>
          <w:sz w:val="24"/>
          <w:szCs w:val="24"/>
        </w:rPr>
        <w:t xml:space="preserve">Continental Dairy Facilities of Coopersville </w:t>
      </w:r>
      <w:r w:rsidR="002B2AD9" w:rsidRPr="00383BF5">
        <w:rPr>
          <w:rFonts w:ascii="Gill Sans MT" w:hAnsi="Gill Sans MT" w:cs="Times New Roman"/>
          <w:sz w:val="24"/>
          <w:szCs w:val="24"/>
        </w:rPr>
        <w:t>was</w:t>
      </w:r>
      <w:r w:rsidR="002D6BB0" w:rsidRPr="00383BF5">
        <w:rPr>
          <w:rFonts w:ascii="Gill Sans MT" w:hAnsi="Gill Sans MT" w:cs="Times New Roman"/>
          <w:sz w:val="24"/>
          <w:szCs w:val="24"/>
        </w:rPr>
        <w:t xml:space="preserve"> among </w:t>
      </w:r>
      <w:r w:rsidR="00830B1A">
        <w:rPr>
          <w:rFonts w:ascii="Gill Sans MT" w:hAnsi="Gill Sans MT" w:cs="Times New Roman"/>
          <w:sz w:val="24"/>
          <w:szCs w:val="24"/>
        </w:rPr>
        <w:t>eight</w:t>
      </w:r>
      <w:r w:rsidR="00830B1A" w:rsidRPr="00383BF5">
        <w:rPr>
          <w:rFonts w:ascii="Gill Sans MT" w:hAnsi="Gill Sans MT" w:cs="Times New Roman"/>
          <w:sz w:val="24"/>
          <w:szCs w:val="24"/>
        </w:rPr>
        <w:t xml:space="preserve"> </w:t>
      </w:r>
      <w:r w:rsidR="0057754F">
        <w:rPr>
          <w:rFonts w:ascii="Gill Sans MT" w:hAnsi="Gill Sans MT" w:cs="Times New Roman"/>
          <w:sz w:val="24"/>
          <w:szCs w:val="24"/>
        </w:rPr>
        <w:t xml:space="preserve">winners in the </w:t>
      </w:r>
      <w:r w:rsidR="002D6BB0" w:rsidRPr="00383BF5">
        <w:rPr>
          <w:rFonts w:ascii="Gill Sans MT" w:hAnsi="Gill Sans MT" w:cs="Times New Roman"/>
          <w:sz w:val="24"/>
          <w:szCs w:val="24"/>
        </w:rPr>
        <w:t>organizations and individuals</w:t>
      </w:r>
      <w:r w:rsidR="005430E9" w:rsidRPr="00383BF5">
        <w:rPr>
          <w:rFonts w:ascii="Gill Sans MT" w:hAnsi="Gill Sans MT" w:cs="Times New Roman"/>
          <w:sz w:val="24"/>
          <w:szCs w:val="24"/>
        </w:rPr>
        <w:t xml:space="preserve"> </w:t>
      </w:r>
      <w:r w:rsidR="00086E13">
        <w:rPr>
          <w:rFonts w:ascii="Gill Sans MT" w:hAnsi="Gill Sans MT" w:cs="Times New Roman"/>
          <w:sz w:val="24"/>
          <w:szCs w:val="24"/>
        </w:rPr>
        <w:t>recognized at the</w:t>
      </w:r>
      <w:r w:rsidR="00635E45">
        <w:rPr>
          <w:rFonts w:ascii="Gill Sans MT" w:hAnsi="Gill Sans MT" w:cs="Times New Roman"/>
          <w:sz w:val="24"/>
          <w:szCs w:val="24"/>
        </w:rPr>
        <w:t xml:space="preserve"> </w:t>
      </w:r>
      <w:r w:rsidRPr="00383BF5">
        <w:rPr>
          <w:rFonts w:ascii="Gill Sans MT" w:hAnsi="Gill Sans MT" w:cs="Times New Roman"/>
          <w:sz w:val="24"/>
          <w:szCs w:val="24"/>
        </w:rPr>
        <w:t>Governor’s Energy Excellence Award</w:t>
      </w:r>
      <w:r w:rsidR="00086E13">
        <w:rPr>
          <w:rFonts w:ascii="Gill Sans MT" w:hAnsi="Gill Sans MT" w:cs="Times New Roman"/>
          <w:sz w:val="24"/>
          <w:szCs w:val="24"/>
        </w:rPr>
        <w:t>s</w:t>
      </w:r>
      <w:r w:rsidR="00635E45">
        <w:rPr>
          <w:rFonts w:ascii="Gill Sans MT" w:hAnsi="Gill Sans MT" w:cs="Times New Roman"/>
          <w:sz w:val="24"/>
          <w:szCs w:val="24"/>
        </w:rPr>
        <w:t xml:space="preserve"> </w:t>
      </w:r>
      <w:r w:rsidR="002D6BB0" w:rsidRPr="00383BF5">
        <w:rPr>
          <w:rFonts w:ascii="Gill Sans MT" w:hAnsi="Gill Sans MT" w:cs="Times New Roman"/>
          <w:sz w:val="24"/>
          <w:szCs w:val="24"/>
        </w:rPr>
        <w:t>for</w:t>
      </w:r>
      <w:r w:rsidR="00E27EC4">
        <w:rPr>
          <w:rFonts w:ascii="Gill Sans MT" w:hAnsi="Gill Sans MT" w:cs="Times New Roman"/>
          <w:sz w:val="24"/>
          <w:szCs w:val="24"/>
        </w:rPr>
        <w:t xml:space="preserve"> </w:t>
      </w:r>
      <w:r w:rsidR="002D6BB0" w:rsidRPr="00383BF5">
        <w:rPr>
          <w:rFonts w:ascii="Gill Sans MT" w:hAnsi="Gill Sans MT" w:cs="Times New Roman"/>
          <w:sz w:val="24"/>
          <w:szCs w:val="24"/>
        </w:rPr>
        <w:t>successful e</w:t>
      </w:r>
      <w:r w:rsidR="00480446" w:rsidRPr="00383BF5">
        <w:rPr>
          <w:rFonts w:ascii="Gill Sans MT" w:hAnsi="Gill Sans MT" w:cs="Times New Roman"/>
          <w:sz w:val="24"/>
          <w:szCs w:val="24"/>
        </w:rPr>
        <w:t xml:space="preserve">fforts to reduce energy waste. </w:t>
      </w:r>
      <w:r w:rsidR="002D6BB0" w:rsidRPr="00383BF5">
        <w:rPr>
          <w:rFonts w:ascii="Gill Sans MT" w:hAnsi="Gill Sans MT" w:cs="Times New Roman"/>
          <w:sz w:val="24"/>
          <w:szCs w:val="24"/>
        </w:rPr>
        <w:t>The</w:t>
      </w:r>
      <w:r w:rsidR="00F9268F" w:rsidRPr="00383BF5">
        <w:rPr>
          <w:rFonts w:ascii="Gill Sans MT" w:hAnsi="Gill Sans MT" w:cs="Times New Roman"/>
          <w:sz w:val="24"/>
          <w:szCs w:val="24"/>
        </w:rPr>
        <w:t xml:space="preserve"> winner</w:t>
      </w:r>
      <w:r w:rsidR="002D6BB0" w:rsidRPr="00383BF5">
        <w:rPr>
          <w:rFonts w:ascii="Gill Sans MT" w:hAnsi="Gill Sans MT" w:cs="Times New Roman"/>
          <w:sz w:val="24"/>
          <w:szCs w:val="24"/>
        </w:rPr>
        <w:t xml:space="preserve">s were announced by Gov. Rick Snyder and </w:t>
      </w:r>
      <w:r w:rsidR="00F9268F" w:rsidRPr="00383BF5">
        <w:rPr>
          <w:rFonts w:ascii="Gill Sans MT" w:hAnsi="Gill Sans MT" w:cs="Times New Roman"/>
          <w:sz w:val="24"/>
          <w:szCs w:val="24"/>
        </w:rPr>
        <w:t xml:space="preserve">honored </w:t>
      </w:r>
      <w:r w:rsidR="002D6BB0" w:rsidRPr="00383BF5">
        <w:rPr>
          <w:rFonts w:ascii="Gill Sans MT" w:hAnsi="Gill Sans MT" w:cs="Times New Roman"/>
          <w:sz w:val="24"/>
          <w:szCs w:val="24"/>
        </w:rPr>
        <w:t xml:space="preserve">at a ceremony </w:t>
      </w:r>
      <w:r w:rsidR="0075042C" w:rsidRPr="00383BF5">
        <w:rPr>
          <w:rFonts w:ascii="Gill Sans MT" w:hAnsi="Gill Sans MT" w:cs="Times New Roman"/>
          <w:sz w:val="24"/>
          <w:szCs w:val="24"/>
        </w:rPr>
        <w:t>in</w:t>
      </w:r>
      <w:r w:rsidR="00245966" w:rsidRPr="00383BF5">
        <w:rPr>
          <w:rFonts w:ascii="Gill Sans MT" w:hAnsi="Gill Sans MT" w:cs="Times New Roman"/>
          <w:sz w:val="24"/>
          <w:szCs w:val="24"/>
        </w:rPr>
        <w:t xml:space="preserve"> </w:t>
      </w:r>
      <w:r w:rsidR="002E7438">
        <w:rPr>
          <w:rFonts w:ascii="Gill Sans MT" w:hAnsi="Gill Sans MT" w:cs="Times New Roman"/>
          <w:sz w:val="24"/>
          <w:szCs w:val="24"/>
        </w:rPr>
        <w:t>Grand Rapids</w:t>
      </w:r>
      <w:r w:rsidR="002E7438" w:rsidRPr="00AC00AD">
        <w:rPr>
          <w:rFonts w:ascii="Gill Sans MT" w:hAnsi="Gill Sans MT" w:cs="Times New Roman"/>
          <w:sz w:val="24"/>
          <w:szCs w:val="24"/>
        </w:rPr>
        <w:t xml:space="preserve"> on </w:t>
      </w:r>
      <w:r w:rsidR="002E7438">
        <w:rPr>
          <w:rFonts w:ascii="Gill Sans MT" w:hAnsi="Gill Sans MT" w:cs="Times New Roman"/>
          <w:sz w:val="24"/>
          <w:szCs w:val="24"/>
        </w:rPr>
        <w:t>September 5</w:t>
      </w:r>
      <w:r w:rsidR="0075042C" w:rsidRPr="00383BF5">
        <w:rPr>
          <w:rFonts w:ascii="Gill Sans MT" w:hAnsi="Gill Sans MT" w:cs="Times New Roman"/>
          <w:sz w:val="24"/>
          <w:szCs w:val="24"/>
        </w:rPr>
        <w:t>.</w:t>
      </w:r>
      <w:r w:rsidR="00857218" w:rsidRPr="00383BF5">
        <w:rPr>
          <w:rFonts w:ascii="Gill Sans MT" w:hAnsi="Gill Sans MT" w:cs="Times New Roman"/>
          <w:sz w:val="24"/>
          <w:szCs w:val="24"/>
        </w:rPr>
        <w:t xml:space="preserve"> </w:t>
      </w:r>
    </w:p>
    <w:p w14:paraId="40536367" w14:textId="5A193B29" w:rsidR="00DF2713" w:rsidRDefault="00DF2713" w:rsidP="00857218">
      <w:pPr>
        <w:rPr>
          <w:rFonts w:ascii="Gill Sans MT" w:hAnsi="Gill Sans MT" w:cs="Times New Roman"/>
          <w:sz w:val="24"/>
          <w:szCs w:val="24"/>
        </w:rPr>
      </w:pPr>
      <w:r w:rsidRPr="00DF2713">
        <w:rPr>
          <w:rFonts w:ascii="Gill Sans MT" w:hAnsi="Gill Sans MT" w:cs="Times New Roman"/>
          <w:sz w:val="24"/>
          <w:szCs w:val="24"/>
        </w:rPr>
        <w:t xml:space="preserve">Continental Dairy Facilities is a fast-growing dairy processing plant that partners with one of the largest dairy co-ops in the nation. But processing over 300,000 pounds of dry milk every day doesn’t leave a light footprint, so maintenance manager Chance Rupe quickly got to work assessing the company’s energy consumption. What he found were opportunities to make the agriculture exporter’s lighting and chiller far more energy efficient. So he sought out rebate programs and incentives through Consumers Energy and set into motion the upgrading of much of the plant’s equipment. Through these efforts, Continental Dairy Facilities stands to save a staggering 1,763,543 kWh per year—a lifetime savings of 35,260,860 kWh. </w:t>
      </w:r>
    </w:p>
    <w:p w14:paraId="71ADD50F" w14:textId="4A8A8D16" w:rsidR="0075042C" w:rsidRPr="00383BF5" w:rsidRDefault="0075042C" w:rsidP="00857218">
      <w:pPr>
        <w:rPr>
          <w:rFonts w:ascii="Gill Sans MT" w:hAnsi="Gill Sans MT" w:cs="Times New Roman"/>
          <w:sz w:val="24"/>
          <w:szCs w:val="24"/>
        </w:rPr>
      </w:pPr>
      <w:r w:rsidRPr="00383BF5">
        <w:rPr>
          <w:rFonts w:ascii="Gill Sans MT" w:hAnsi="Gill Sans MT" w:cs="Times New Roman"/>
          <w:sz w:val="24"/>
          <w:szCs w:val="24"/>
        </w:rPr>
        <w:t xml:space="preserve">“Reducing energy waste, along with ensuring energy reliability and advancing clean energy, is a key component of Michigan’s energy policy," said </w:t>
      </w:r>
      <w:r w:rsidR="00245966" w:rsidRPr="00383BF5">
        <w:rPr>
          <w:rFonts w:ascii="Gill Sans MT" w:hAnsi="Gill Sans MT" w:cs="Times New Roman"/>
          <w:sz w:val="24"/>
          <w:szCs w:val="24"/>
        </w:rPr>
        <w:t>the governor.</w:t>
      </w:r>
      <w:r w:rsidRPr="00383BF5">
        <w:rPr>
          <w:rFonts w:ascii="Gill Sans MT" w:hAnsi="Gill Sans MT" w:cs="Times New Roman"/>
          <w:sz w:val="24"/>
          <w:szCs w:val="24"/>
        </w:rPr>
        <w:t xml:space="preserve"> “We’re proud of the steps taken by the individuals and organizations we’re honoring because collectively they illustrate </w:t>
      </w:r>
      <w:r w:rsidRPr="00383BF5">
        <w:rPr>
          <w:rFonts w:ascii="Gill Sans MT" w:hAnsi="Gill Sans MT" w:cs="Times New Roman"/>
          <w:sz w:val="24"/>
          <w:szCs w:val="24"/>
        </w:rPr>
        <w:lastRenderedPageBreak/>
        <w:t>what can be done to reduce energy waste and save money, both of which strengthen Michigan's economy.”</w:t>
      </w:r>
    </w:p>
    <w:p w14:paraId="34D38C0C" w14:textId="6C196609" w:rsidR="009D7790" w:rsidRPr="00383BF5" w:rsidRDefault="009D7790" w:rsidP="009D7790">
      <w:pPr>
        <w:rPr>
          <w:rFonts w:ascii="Gill Sans MT" w:hAnsi="Gill Sans MT" w:cs="Times New Roman"/>
          <w:sz w:val="24"/>
          <w:szCs w:val="24"/>
        </w:rPr>
      </w:pPr>
      <w:r w:rsidRPr="00383BF5">
        <w:rPr>
          <w:rFonts w:ascii="Gill Sans MT" w:hAnsi="Gill Sans MT" w:cs="Times New Roman"/>
          <w:sz w:val="24"/>
          <w:szCs w:val="24"/>
        </w:rPr>
        <w:t xml:space="preserve">The award for Best Agriculture Project is presented to an agricultural operation that has implemented an energy-efficiency project in the previous year. </w:t>
      </w:r>
    </w:p>
    <w:p w14:paraId="36AFB417" w14:textId="77777777" w:rsidR="002E7438" w:rsidRPr="00AC00AD" w:rsidRDefault="002E7438" w:rsidP="002E7438">
      <w:pPr>
        <w:rPr>
          <w:rFonts w:ascii="Gill Sans MT" w:hAnsi="Gill Sans MT" w:cs="Times New Roman"/>
          <w:sz w:val="24"/>
          <w:szCs w:val="24"/>
        </w:rPr>
      </w:pPr>
      <w:bookmarkStart w:id="0" w:name="_Hlk522873582"/>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0D9C99A5"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4BBF06C3" w14:textId="77777777" w:rsidR="002E7438" w:rsidRDefault="002E7438" w:rsidP="002E7438">
      <w:pPr>
        <w:pStyle w:val="GEEABullet1"/>
        <w:numPr>
          <w:ilvl w:val="0"/>
          <w:numId w:val="0"/>
        </w:numPr>
      </w:pPr>
      <w:r w:rsidRPr="003E228D">
        <w:rPr>
          <w:i/>
        </w:rPr>
        <w:t>Winner:</w:t>
      </w:r>
      <w:r>
        <w:t xml:space="preserve"> James Stump, </w:t>
      </w:r>
      <w:r w:rsidRPr="00E1093C">
        <w:rPr>
          <w:i/>
        </w:rPr>
        <w:t>Lyons</w:t>
      </w:r>
      <w:r>
        <w:t xml:space="preserve"> </w:t>
      </w:r>
    </w:p>
    <w:p w14:paraId="7A734D0A" w14:textId="77777777" w:rsidR="002E7438" w:rsidRDefault="002E7438" w:rsidP="002E7438">
      <w:pPr>
        <w:pStyle w:val="GEEABullet1"/>
        <w:numPr>
          <w:ilvl w:val="0"/>
          <w:numId w:val="0"/>
        </w:numPr>
      </w:pPr>
      <w:r w:rsidRPr="003E228D">
        <w:rPr>
          <w:i/>
        </w:rPr>
        <w:t>Finalist:</w:t>
      </w:r>
      <w:r>
        <w:t xml:space="preserve"> Nancy Choura, </w:t>
      </w:r>
      <w:r w:rsidRPr="00E1093C">
        <w:rPr>
          <w:i/>
        </w:rPr>
        <w:t>South Haven</w:t>
      </w:r>
    </w:p>
    <w:p w14:paraId="345F6F8C" w14:textId="77777777" w:rsidR="002E7438" w:rsidRDefault="002E7438" w:rsidP="002E7438">
      <w:pPr>
        <w:pStyle w:val="GEEABullet1"/>
        <w:numPr>
          <w:ilvl w:val="0"/>
          <w:numId w:val="0"/>
        </w:numPr>
        <w:rPr>
          <w:i/>
        </w:rPr>
      </w:pPr>
      <w:r w:rsidRPr="003E228D">
        <w:rPr>
          <w:i/>
        </w:rPr>
        <w:t>Finalist</w:t>
      </w:r>
      <w:r>
        <w:t xml:space="preserve">: Roy Cole, </w:t>
      </w:r>
      <w:r w:rsidRPr="00E1093C">
        <w:rPr>
          <w:i/>
        </w:rPr>
        <w:t>Holland</w:t>
      </w:r>
    </w:p>
    <w:p w14:paraId="4C470B86" w14:textId="77777777" w:rsidR="002E7438" w:rsidRDefault="002E7438" w:rsidP="002E7438">
      <w:pPr>
        <w:pStyle w:val="GEEABullet1"/>
        <w:numPr>
          <w:ilvl w:val="0"/>
          <w:numId w:val="0"/>
        </w:numPr>
      </w:pPr>
      <w:r w:rsidRPr="003E228D">
        <w:rPr>
          <w:i/>
        </w:rPr>
        <w:t>Honorable Mention</w:t>
      </w:r>
      <w:r>
        <w:t xml:space="preserve">: </w:t>
      </w:r>
      <w:r w:rsidRPr="008576AB">
        <w:t xml:space="preserve">Robert Katrinic, </w:t>
      </w:r>
      <w:r w:rsidRPr="008576AB">
        <w:rPr>
          <w:i/>
        </w:rPr>
        <w:t>Holland</w:t>
      </w:r>
    </w:p>
    <w:p w14:paraId="5C920053"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68235886" w14:textId="77777777" w:rsidR="002E7438" w:rsidRDefault="002E7438" w:rsidP="002E7438">
      <w:pPr>
        <w:pStyle w:val="GEEABullet1"/>
        <w:numPr>
          <w:ilvl w:val="0"/>
          <w:numId w:val="0"/>
        </w:numPr>
        <w:ind w:left="360" w:hanging="360"/>
      </w:pPr>
      <w:r w:rsidRPr="003E228D">
        <w:rPr>
          <w:i/>
        </w:rPr>
        <w:t>Winner</w:t>
      </w:r>
      <w:r>
        <w:t xml:space="preserve">: Continental Dairy Facilities, LLC, </w:t>
      </w:r>
      <w:r w:rsidRPr="00E1093C">
        <w:rPr>
          <w:i/>
        </w:rPr>
        <w:t>Coopersville</w:t>
      </w:r>
    </w:p>
    <w:p w14:paraId="2F080DDB"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63086A17" w14:textId="77777777" w:rsidR="002E7438" w:rsidRDefault="002E7438" w:rsidP="002E7438">
      <w:pPr>
        <w:pStyle w:val="GEEABullet1"/>
        <w:numPr>
          <w:ilvl w:val="0"/>
          <w:numId w:val="0"/>
        </w:numPr>
      </w:pPr>
      <w:r w:rsidRPr="007E65ED">
        <w:rPr>
          <w:i/>
        </w:rPr>
        <w:t>Winner</w:t>
      </w:r>
      <w:r>
        <w:t xml:space="preserve">: ArcelorMittal, </w:t>
      </w:r>
      <w:r w:rsidRPr="00E1093C">
        <w:rPr>
          <w:i/>
        </w:rPr>
        <w:t>Detroit</w:t>
      </w:r>
    </w:p>
    <w:p w14:paraId="54DAE4E6" w14:textId="21C9B898" w:rsidR="002E7438" w:rsidRDefault="002E7438" w:rsidP="002E7438">
      <w:pPr>
        <w:pStyle w:val="GEEABullet1"/>
        <w:numPr>
          <w:ilvl w:val="0"/>
          <w:numId w:val="0"/>
        </w:numPr>
      </w:pPr>
      <w:r w:rsidRPr="007E65ED">
        <w:rPr>
          <w:i/>
        </w:rPr>
        <w:t>Finalist</w:t>
      </w:r>
      <w:r>
        <w:t xml:space="preserve">: Verso </w:t>
      </w:r>
      <w:r w:rsidR="0074076F">
        <w:t>Corporation</w:t>
      </w:r>
      <w:r>
        <w:t xml:space="preserve">, </w:t>
      </w:r>
      <w:r w:rsidRPr="00E1093C">
        <w:rPr>
          <w:i/>
        </w:rPr>
        <w:t>Escanaba</w:t>
      </w:r>
    </w:p>
    <w:p w14:paraId="6C8C1EA6"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5680B100" w14:textId="77777777" w:rsidR="002E7438" w:rsidRDefault="002E7438" w:rsidP="002E7438">
      <w:pPr>
        <w:pStyle w:val="GEEABullet1"/>
        <w:numPr>
          <w:ilvl w:val="0"/>
          <w:numId w:val="0"/>
        </w:numPr>
      </w:pPr>
      <w:r w:rsidRPr="007E65ED">
        <w:rPr>
          <w:i/>
        </w:rPr>
        <w:t>Winner</w:t>
      </w:r>
      <w:r>
        <w:t xml:space="preserve">: IBEW Local 58, </w:t>
      </w:r>
      <w:r w:rsidRPr="00E1093C">
        <w:rPr>
          <w:i/>
        </w:rPr>
        <w:t>Detroit</w:t>
      </w:r>
    </w:p>
    <w:p w14:paraId="22134004" w14:textId="77777777" w:rsidR="002E7438" w:rsidRDefault="002E7438" w:rsidP="002E7438">
      <w:pPr>
        <w:pStyle w:val="GEEABullet1"/>
        <w:numPr>
          <w:ilvl w:val="0"/>
          <w:numId w:val="0"/>
        </w:numPr>
      </w:pPr>
      <w:r w:rsidRPr="007E65ED">
        <w:rPr>
          <w:i/>
        </w:rPr>
        <w:t>Finalist</w:t>
      </w:r>
      <w:r>
        <w:t xml:space="preserve">: Metea Court Apartments, </w:t>
      </w:r>
      <w:r>
        <w:rPr>
          <w:i/>
        </w:rPr>
        <w:t>Buchanan</w:t>
      </w:r>
    </w:p>
    <w:p w14:paraId="578BAC53" w14:textId="77777777" w:rsidR="002E7438" w:rsidRPr="00E1093C" w:rsidRDefault="002E7438" w:rsidP="002E7438">
      <w:pPr>
        <w:pStyle w:val="GEEABullet1"/>
        <w:numPr>
          <w:ilvl w:val="0"/>
          <w:numId w:val="0"/>
        </w:numPr>
      </w:pPr>
      <w:r w:rsidRPr="007E65ED">
        <w:rPr>
          <w:i/>
        </w:rPr>
        <w:t>Finalist</w:t>
      </w:r>
      <w:r>
        <w:t xml:space="preserve">: Otsego Apartments, </w:t>
      </w:r>
      <w:r w:rsidRPr="00E1093C">
        <w:rPr>
          <w:i/>
        </w:rPr>
        <w:t>Jackson</w:t>
      </w:r>
    </w:p>
    <w:p w14:paraId="245EC1F2"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624339ED" w14:textId="77777777" w:rsidR="002E7438" w:rsidRDefault="002E7438" w:rsidP="002E7438">
      <w:pPr>
        <w:pStyle w:val="GEEABullet1"/>
        <w:numPr>
          <w:ilvl w:val="0"/>
          <w:numId w:val="0"/>
        </w:numPr>
      </w:pPr>
      <w:r w:rsidRPr="007E65ED">
        <w:rPr>
          <w:i/>
        </w:rPr>
        <w:t>Winner</w:t>
      </w:r>
      <w:r>
        <w:t xml:space="preserve">: Genesee Intermediate School District, </w:t>
      </w:r>
      <w:r w:rsidRPr="00E1093C">
        <w:rPr>
          <w:i/>
        </w:rPr>
        <w:t>Flint</w:t>
      </w:r>
    </w:p>
    <w:p w14:paraId="48123135" w14:textId="77777777" w:rsidR="002E7438" w:rsidRDefault="002E7438" w:rsidP="002E7438">
      <w:pPr>
        <w:pStyle w:val="GEEABullet1"/>
        <w:numPr>
          <w:ilvl w:val="0"/>
          <w:numId w:val="0"/>
        </w:numPr>
      </w:pPr>
      <w:r w:rsidRPr="007E65ED">
        <w:rPr>
          <w:i/>
        </w:rPr>
        <w:t>Finalist</w:t>
      </w:r>
      <w:r>
        <w:t xml:space="preserve">: Holland Board of Public Works, </w:t>
      </w:r>
      <w:r w:rsidRPr="00E1093C">
        <w:rPr>
          <w:i/>
        </w:rPr>
        <w:t>Holland</w:t>
      </w:r>
    </w:p>
    <w:p w14:paraId="7CF69E9C" w14:textId="77777777" w:rsidR="002E7438" w:rsidRDefault="002E7438" w:rsidP="002E7438">
      <w:pPr>
        <w:pStyle w:val="GEEABullet1"/>
        <w:numPr>
          <w:ilvl w:val="0"/>
          <w:numId w:val="0"/>
        </w:numPr>
        <w:rPr>
          <w:i/>
        </w:rPr>
      </w:pPr>
      <w:r w:rsidRPr="007E65ED">
        <w:rPr>
          <w:i/>
        </w:rPr>
        <w:t>Finalist</w:t>
      </w:r>
      <w:r>
        <w:t xml:space="preserve">: Van Buren Intermediate School District, </w:t>
      </w:r>
      <w:r w:rsidRPr="00E1093C">
        <w:rPr>
          <w:i/>
        </w:rPr>
        <w:t>Lawrence</w:t>
      </w:r>
    </w:p>
    <w:p w14:paraId="1C2FB724" w14:textId="77777777" w:rsidR="002E7438" w:rsidRPr="000E45C5" w:rsidRDefault="002E7438" w:rsidP="002E7438">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6D91AC47"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088B1595" w14:textId="77777777" w:rsidR="002E7438" w:rsidRPr="00E1093C" w:rsidRDefault="002E7438" w:rsidP="002E7438">
      <w:pPr>
        <w:pStyle w:val="GEEABullet1"/>
        <w:numPr>
          <w:ilvl w:val="0"/>
          <w:numId w:val="0"/>
        </w:numPr>
      </w:pPr>
      <w:r w:rsidRPr="000E45C5">
        <w:rPr>
          <w:i/>
        </w:rPr>
        <w:t>Winner</w:t>
      </w:r>
      <w:r>
        <w:t xml:space="preserve">: WMGB Home Improvement, </w:t>
      </w:r>
      <w:r w:rsidRPr="00E1093C">
        <w:rPr>
          <w:i/>
        </w:rPr>
        <w:t>Wyoming</w:t>
      </w:r>
    </w:p>
    <w:p w14:paraId="5AC7BD49" w14:textId="77777777" w:rsidR="002E7438" w:rsidRDefault="002E7438" w:rsidP="002E7438">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3BB57049" w14:textId="77777777" w:rsidR="002E7438" w:rsidRDefault="002E7438" w:rsidP="002E7438">
      <w:pPr>
        <w:pStyle w:val="GEEABullet1"/>
        <w:numPr>
          <w:ilvl w:val="0"/>
          <w:numId w:val="0"/>
        </w:numPr>
      </w:pPr>
      <w:r w:rsidRPr="007E65ED">
        <w:rPr>
          <w:i/>
        </w:rPr>
        <w:t>Finalist</w:t>
      </w:r>
      <w:r>
        <w:t xml:space="preserve">: Ecotelligent Homes, </w:t>
      </w:r>
      <w:r w:rsidRPr="00E1093C">
        <w:rPr>
          <w:i/>
        </w:rPr>
        <w:t>Farmington Hills</w:t>
      </w:r>
    </w:p>
    <w:p w14:paraId="3AA18766"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61D41697" w14:textId="77777777" w:rsidR="002E7438" w:rsidRPr="00E1093C" w:rsidRDefault="002E7438" w:rsidP="002E7438">
      <w:pPr>
        <w:pStyle w:val="GEEABullet1"/>
        <w:numPr>
          <w:ilvl w:val="0"/>
          <w:numId w:val="0"/>
        </w:numPr>
      </w:pPr>
      <w:r w:rsidRPr="000E45C5">
        <w:rPr>
          <w:i/>
        </w:rPr>
        <w:t>Winner</w:t>
      </w:r>
      <w:r>
        <w:t xml:space="preserve">: Major General Michael Stone, </w:t>
      </w:r>
      <w:r w:rsidRPr="00E1093C">
        <w:rPr>
          <w:i/>
        </w:rPr>
        <w:t>Lansing</w:t>
      </w:r>
    </w:p>
    <w:p w14:paraId="20738416" w14:textId="77777777" w:rsidR="002E7438" w:rsidRDefault="002E7438" w:rsidP="002E7438">
      <w:pPr>
        <w:pStyle w:val="GEEABullet1"/>
        <w:numPr>
          <w:ilvl w:val="0"/>
          <w:numId w:val="0"/>
        </w:numPr>
      </w:pPr>
      <w:r w:rsidRPr="007E65ED">
        <w:rPr>
          <w:i/>
        </w:rPr>
        <w:t>Finalist</w:t>
      </w:r>
      <w:r>
        <w:t xml:space="preserve">: Dave Heinz, </w:t>
      </w:r>
      <w:r w:rsidRPr="00E1093C">
        <w:rPr>
          <w:i/>
        </w:rPr>
        <w:t>Petoskey</w:t>
      </w:r>
    </w:p>
    <w:p w14:paraId="0A9F02AF" w14:textId="77777777" w:rsidR="002E7438" w:rsidRDefault="002E7438" w:rsidP="002E7438">
      <w:pPr>
        <w:pStyle w:val="GEEABullet1"/>
        <w:numPr>
          <w:ilvl w:val="0"/>
          <w:numId w:val="0"/>
        </w:numPr>
        <w:rPr>
          <w:i/>
        </w:rPr>
      </w:pPr>
      <w:r w:rsidRPr="007E65ED">
        <w:rPr>
          <w:i/>
        </w:rPr>
        <w:t>Finalist</w:t>
      </w:r>
      <w:r>
        <w:t xml:space="preserve">: Kenneth Randazzo, </w:t>
      </w:r>
      <w:r w:rsidRPr="00E1093C">
        <w:rPr>
          <w:i/>
        </w:rPr>
        <w:t>Detroit</w:t>
      </w:r>
    </w:p>
    <w:p w14:paraId="11369A04" w14:textId="26A62B3A" w:rsidR="00B3589F" w:rsidRDefault="002E7438" w:rsidP="002E7438">
      <w:pPr>
        <w:pStyle w:val="GEEABullet1"/>
        <w:numPr>
          <w:ilvl w:val="0"/>
          <w:numId w:val="0"/>
        </w:numPr>
        <w:rPr>
          <w:i/>
        </w:rPr>
      </w:pPr>
      <w:r w:rsidRPr="000E45C5">
        <w:rPr>
          <w:i/>
        </w:rPr>
        <w:t xml:space="preserve">Honorable Mention: </w:t>
      </w:r>
      <w:r w:rsidRPr="000E45C5">
        <w:t xml:space="preserve">Michael Abraham, Jr. and Sam </w:t>
      </w:r>
      <w:proofErr w:type="spellStart"/>
      <w:r w:rsidRPr="000E45C5">
        <w:t>DiNello</w:t>
      </w:r>
      <w:proofErr w:type="spellEnd"/>
      <w:r w:rsidRPr="000E45C5">
        <w:rPr>
          <w:i/>
        </w:rPr>
        <w:t xml:space="preserve">, </w:t>
      </w:r>
      <w:r w:rsidRPr="00E1093C">
        <w:rPr>
          <w:i/>
        </w:rPr>
        <w:t>Sterling Heights</w:t>
      </w:r>
    </w:p>
    <w:p w14:paraId="4FD513CE" w14:textId="77777777" w:rsidR="00B3589F" w:rsidRDefault="00B3589F">
      <w:pPr>
        <w:rPr>
          <w:rFonts w:ascii="Gill Sans MT" w:hAnsi="Gill Sans MT"/>
          <w:i/>
          <w:color w:val="383A3C"/>
        </w:rPr>
      </w:pPr>
      <w:r>
        <w:rPr>
          <w:i/>
        </w:rPr>
        <w:br w:type="page"/>
      </w:r>
    </w:p>
    <w:p w14:paraId="76BF45E5" w14:textId="77777777" w:rsidR="002E7438" w:rsidRPr="00104E7E" w:rsidRDefault="002E7438" w:rsidP="002E7438">
      <w:pPr>
        <w:pStyle w:val="NormalWeb"/>
        <w:shd w:val="clear" w:color="auto" w:fill="FFFFFF"/>
        <w:spacing w:before="0" w:beforeAutospacing="0" w:after="0" w:afterAutospacing="0"/>
        <w:rPr>
          <w:rFonts w:ascii="Gill Sans MT" w:hAnsi="Gill Sans MT" w:cs="Tahoma"/>
          <w:color w:val="222222"/>
          <w:sz w:val="22"/>
          <w:szCs w:val="22"/>
        </w:rPr>
      </w:pPr>
      <w:bookmarkStart w:id="1" w:name="_GoBack"/>
      <w:bookmarkEnd w:id="1"/>
      <w:r w:rsidRPr="00104E7E">
        <w:rPr>
          <w:rFonts w:ascii="Gill Sans MT" w:hAnsi="Gill Sans MT" w:cs="Helvetica"/>
          <w:b/>
          <w:bCs/>
          <w:color w:val="000000"/>
          <w:sz w:val="22"/>
          <w:szCs w:val="22"/>
        </w:rPr>
        <w:lastRenderedPageBreak/>
        <w:t>Best Program</w:t>
      </w:r>
    </w:p>
    <w:p w14:paraId="22E9561C" w14:textId="77777777" w:rsidR="002E7438" w:rsidRDefault="002E7438" w:rsidP="002E7438">
      <w:pPr>
        <w:pStyle w:val="GEEABullet1"/>
        <w:numPr>
          <w:ilvl w:val="0"/>
          <w:numId w:val="0"/>
        </w:numPr>
      </w:pPr>
      <w:r w:rsidRPr="000E45C5">
        <w:rPr>
          <w:i/>
        </w:rPr>
        <w:t>Winner</w:t>
      </w:r>
      <w:r>
        <w:t xml:space="preserve">: Homeless Shelters Initiative, </w:t>
      </w:r>
      <w:r w:rsidRPr="00E1093C">
        <w:rPr>
          <w:i/>
        </w:rPr>
        <w:t>Okemos</w:t>
      </w:r>
    </w:p>
    <w:p w14:paraId="6C9923A5" w14:textId="77777777" w:rsidR="002E7438" w:rsidRDefault="002E7438" w:rsidP="002E7438">
      <w:pPr>
        <w:pStyle w:val="GEEABullet1"/>
        <w:numPr>
          <w:ilvl w:val="0"/>
          <w:numId w:val="0"/>
        </w:numPr>
      </w:pPr>
      <w:r w:rsidRPr="007E65ED">
        <w:rPr>
          <w:i/>
        </w:rPr>
        <w:t>Finalist</w:t>
      </w:r>
      <w:r>
        <w:t xml:space="preserve">: EnergySmart Grocer, </w:t>
      </w:r>
      <w:r w:rsidRPr="00E1093C">
        <w:rPr>
          <w:i/>
        </w:rPr>
        <w:t>East Lansing</w:t>
      </w:r>
    </w:p>
    <w:p w14:paraId="49F968FA" w14:textId="77777777" w:rsidR="002E7438" w:rsidRDefault="002E7438" w:rsidP="002E7438">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003D185D" w14:textId="77777777" w:rsidR="002E7438" w:rsidRPr="000E45C5" w:rsidRDefault="002E7438" w:rsidP="002E7438">
      <w:pPr>
        <w:pStyle w:val="GEEABullet1"/>
        <w:numPr>
          <w:ilvl w:val="0"/>
          <w:numId w:val="0"/>
        </w:numPr>
        <w:rPr>
          <w:i/>
        </w:rPr>
      </w:pPr>
      <w:r w:rsidRPr="000E45C5">
        <w:rPr>
          <w:i/>
        </w:rPr>
        <w:t xml:space="preserve">Honorable Mention: </w:t>
      </w:r>
      <w:r w:rsidRPr="000E45C5">
        <w:t>House of Worship Rewards</w:t>
      </w:r>
      <w:r w:rsidRPr="000E45C5">
        <w:rPr>
          <w:i/>
        </w:rPr>
        <w:t xml:space="preserve">, </w:t>
      </w:r>
      <w:r w:rsidRPr="00E1093C">
        <w:rPr>
          <w:i/>
        </w:rPr>
        <w:t>Jackson</w:t>
      </w:r>
    </w:p>
    <w:bookmarkEnd w:id="0"/>
    <w:p w14:paraId="428813FE" w14:textId="3C0F6C04" w:rsidR="00883350" w:rsidRPr="003D7093" w:rsidRDefault="00883350" w:rsidP="00883350">
      <w:pPr>
        <w:pStyle w:val="NoSpacing"/>
        <w:rPr>
          <w:rFonts w:ascii="Gill Sans MT" w:hAnsi="Gill Sans MT" w:cs="Times New Roman"/>
          <w:sz w:val="24"/>
          <w:szCs w:val="24"/>
        </w:rPr>
      </w:pPr>
    </w:p>
    <w:p w14:paraId="52A98294" w14:textId="77777777" w:rsidR="00E8664F" w:rsidRPr="00383BF5" w:rsidRDefault="00E8664F" w:rsidP="00E8664F">
      <w:pPr>
        <w:pStyle w:val="NoSpacing"/>
        <w:rPr>
          <w:rFonts w:ascii="Gill Sans MT" w:hAnsi="Gill Sans MT" w:cs="Times New Roman"/>
          <w:sz w:val="24"/>
          <w:szCs w:val="24"/>
        </w:rPr>
      </w:pPr>
    </w:p>
    <w:p w14:paraId="30037CA6" w14:textId="77777777" w:rsidR="00245966" w:rsidRPr="00383BF5" w:rsidRDefault="00245966" w:rsidP="00E8664F">
      <w:pPr>
        <w:jc w:val="center"/>
        <w:rPr>
          <w:rFonts w:ascii="Gill Sans MT" w:hAnsi="Gill Sans MT" w:cs="Times New Roman"/>
          <w:sz w:val="24"/>
          <w:szCs w:val="24"/>
        </w:rPr>
      </w:pPr>
      <w:r w:rsidRPr="00383BF5">
        <w:rPr>
          <w:rFonts w:ascii="Gill Sans MT" w:hAnsi="Gill Sans MT" w:cs="Times New Roman"/>
          <w:sz w:val="24"/>
          <w:szCs w:val="24"/>
        </w:rPr>
        <w:t># # # #</w:t>
      </w:r>
    </w:p>
    <w:p w14:paraId="75B7C942" w14:textId="5CA5B0D8" w:rsidR="00E8664F" w:rsidRPr="00383BF5" w:rsidRDefault="00022CD3" w:rsidP="00E8664F">
      <w:pPr>
        <w:rPr>
          <w:rFonts w:ascii="Gill Sans MT" w:hAnsi="Gill Sans MT" w:cs="Times New Roman"/>
          <w:i/>
          <w:sz w:val="24"/>
          <w:szCs w:val="24"/>
        </w:rPr>
      </w:pPr>
      <w:r w:rsidRPr="00383BF5">
        <w:rPr>
          <w:rFonts w:ascii="Gill Sans MT" w:hAnsi="Gill Sans MT" w:cs="Times New Roman"/>
          <w:i/>
          <w:sz w:val="24"/>
          <w:szCs w:val="24"/>
        </w:rPr>
        <w:t>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 and SEMCO ENERGY Gas Company.</w:t>
      </w:r>
    </w:p>
    <w:p w14:paraId="338D35B9" w14:textId="057F3D0B" w:rsidR="00090F54" w:rsidRPr="00E8664F" w:rsidRDefault="00E8664F" w:rsidP="00E8664F">
      <w:pPr>
        <w:rPr>
          <w:rFonts w:ascii="Times New Roman" w:hAnsi="Times New Roman" w:cs="Times New Roman"/>
          <w:i/>
          <w:sz w:val="24"/>
          <w:szCs w:val="24"/>
        </w:rPr>
      </w:pPr>
      <w:r w:rsidRPr="00383BF5">
        <w:rPr>
          <w:rFonts w:ascii="Gill Sans MT" w:hAnsi="Gill Sans MT" w:cs="Times New Roman"/>
          <w:i/>
          <w:sz w:val="24"/>
          <w:szCs w:val="24"/>
        </w:rPr>
        <w:t xml:space="preserve">For more information on the awards, go to </w:t>
      </w:r>
      <w:hyperlink r:id="rId9" w:history="1">
        <w:r w:rsidRPr="00383BF5">
          <w:rPr>
            <w:rStyle w:val="Hyperlink"/>
            <w:rFonts w:ascii="Gill Sans MT" w:hAnsi="Gill Sans MT" w:cs="Times New Roman"/>
            <w:sz w:val="24"/>
            <w:szCs w:val="24"/>
          </w:rPr>
          <w:t>www.mienergyexcellence.org</w:t>
        </w:r>
      </w:hyperlink>
      <w:r w:rsidRPr="00383BF5">
        <w:rPr>
          <w:rFonts w:ascii="Gill Sans MT" w:hAnsi="Gill Sans MT" w:cs="Times New Roman"/>
          <w:i/>
          <w:sz w:val="24"/>
          <w:szCs w:val="24"/>
        </w:rPr>
        <w:t>. For winner and finalist photos and project descriptions, click on “Finalists.”</w:t>
      </w:r>
    </w:p>
    <w:sectPr w:rsidR="00090F54" w:rsidRPr="00E8664F"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D53B" w14:textId="77777777" w:rsidR="000146D4" w:rsidRDefault="000146D4" w:rsidP="00022CD3">
      <w:pPr>
        <w:spacing w:after="0" w:line="240" w:lineRule="auto"/>
      </w:pPr>
      <w:r>
        <w:separator/>
      </w:r>
    </w:p>
  </w:endnote>
  <w:endnote w:type="continuationSeparator" w:id="0">
    <w:p w14:paraId="0A0C8B57" w14:textId="77777777" w:rsidR="000146D4" w:rsidRDefault="000146D4"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9061"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0890"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29B3"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2012" w14:textId="77777777" w:rsidR="000146D4" w:rsidRDefault="000146D4" w:rsidP="00022CD3">
      <w:pPr>
        <w:spacing w:after="0" w:line="240" w:lineRule="auto"/>
      </w:pPr>
      <w:r>
        <w:separator/>
      </w:r>
    </w:p>
  </w:footnote>
  <w:footnote w:type="continuationSeparator" w:id="0">
    <w:p w14:paraId="07DCD37B" w14:textId="77777777" w:rsidR="000146D4" w:rsidRDefault="000146D4"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C546"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9FA" w14:textId="2DEBF94C"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8EC1"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146D4"/>
    <w:rsid w:val="00022CD3"/>
    <w:rsid w:val="00024BA4"/>
    <w:rsid w:val="00034E71"/>
    <w:rsid w:val="00041429"/>
    <w:rsid w:val="00052ECA"/>
    <w:rsid w:val="00077618"/>
    <w:rsid w:val="00086E13"/>
    <w:rsid w:val="00090F54"/>
    <w:rsid w:val="00097EB4"/>
    <w:rsid w:val="000F4382"/>
    <w:rsid w:val="00101C8C"/>
    <w:rsid w:val="00137C41"/>
    <w:rsid w:val="00181694"/>
    <w:rsid w:val="001869FF"/>
    <w:rsid w:val="001A301C"/>
    <w:rsid w:val="001B0070"/>
    <w:rsid w:val="001F11FD"/>
    <w:rsid w:val="001F5BB3"/>
    <w:rsid w:val="00203ED0"/>
    <w:rsid w:val="00215848"/>
    <w:rsid w:val="00224BBC"/>
    <w:rsid w:val="00245966"/>
    <w:rsid w:val="00263F52"/>
    <w:rsid w:val="002B2AD9"/>
    <w:rsid w:val="002D6BB0"/>
    <w:rsid w:val="002E7438"/>
    <w:rsid w:val="002F272E"/>
    <w:rsid w:val="00314AC9"/>
    <w:rsid w:val="0032615D"/>
    <w:rsid w:val="00330CA0"/>
    <w:rsid w:val="00344C3C"/>
    <w:rsid w:val="00354AFC"/>
    <w:rsid w:val="00367971"/>
    <w:rsid w:val="00383BF5"/>
    <w:rsid w:val="00391C31"/>
    <w:rsid w:val="003B0260"/>
    <w:rsid w:val="003B78CE"/>
    <w:rsid w:val="003D3E39"/>
    <w:rsid w:val="003E0412"/>
    <w:rsid w:val="00415897"/>
    <w:rsid w:val="00425801"/>
    <w:rsid w:val="00427710"/>
    <w:rsid w:val="00451125"/>
    <w:rsid w:val="00464636"/>
    <w:rsid w:val="00471675"/>
    <w:rsid w:val="00480446"/>
    <w:rsid w:val="00487644"/>
    <w:rsid w:val="004A4C8B"/>
    <w:rsid w:val="004A68D9"/>
    <w:rsid w:val="004C4278"/>
    <w:rsid w:val="004F1C51"/>
    <w:rsid w:val="00506DA9"/>
    <w:rsid w:val="005119C6"/>
    <w:rsid w:val="005265D3"/>
    <w:rsid w:val="005430E9"/>
    <w:rsid w:val="005454C2"/>
    <w:rsid w:val="00561081"/>
    <w:rsid w:val="00571E5B"/>
    <w:rsid w:val="0057754F"/>
    <w:rsid w:val="00596665"/>
    <w:rsid w:val="005B7813"/>
    <w:rsid w:val="005C5559"/>
    <w:rsid w:val="005E7452"/>
    <w:rsid w:val="006048DE"/>
    <w:rsid w:val="0062217B"/>
    <w:rsid w:val="00635E45"/>
    <w:rsid w:val="00661C38"/>
    <w:rsid w:val="006941D5"/>
    <w:rsid w:val="006970A0"/>
    <w:rsid w:val="006A2016"/>
    <w:rsid w:val="006B5DE2"/>
    <w:rsid w:val="006D4649"/>
    <w:rsid w:val="006E6A95"/>
    <w:rsid w:val="006F2414"/>
    <w:rsid w:val="00715CDA"/>
    <w:rsid w:val="00724370"/>
    <w:rsid w:val="0074076F"/>
    <w:rsid w:val="0075042C"/>
    <w:rsid w:val="00774A81"/>
    <w:rsid w:val="00782ED2"/>
    <w:rsid w:val="007A7E72"/>
    <w:rsid w:val="007C7503"/>
    <w:rsid w:val="007E54BB"/>
    <w:rsid w:val="00830B1A"/>
    <w:rsid w:val="00833B17"/>
    <w:rsid w:val="0085418A"/>
    <w:rsid w:val="0085716A"/>
    <w:rsid w:val="00857218"/>
    <w:rsid w:val="00861F36"/>
    <w:rsid w:val="00883350"/>
    <w:rsid w:val="008A5C34"/>
    <w:rsid w:val="009115ED"/>
    <w:rsid w:val="009207B5"/>
    <w:rsid w:val="00925003"/>
    <w:rsid w:val="00952851"/>
    <w:rsid w:val="00955B63"/>
    <w:rsid w:val="00970653"/>
    <w:rsid w:val="00973B3F"/>
    <w:rsid w:val="00977972"/>
    <w:rsid w:val="009779A9"/>
    <w:rsid w:val="009811D3"/>
    <w:rsid w:val="009B083F"/>
    <w:rsid w:val="009B0915"/>
    <w:rsid w:val="009C0973"/>
    <w:rsid w:val="009D5916"/>
    <w:rsid w:val="009D71FF"/>
    <w:rsid w:val="009D7790"/>
    <w:rsid w:val="009E259C"/>
    <w:rsid w:val="009F2675"/>
    <w:rsid w:val="009F4546"/>
    <w:rsid w:val="009F5ADA"/>
    <w:rsid w:val="00A218CC"/>
    <w:rsid w:val="00A530D1"/>
    <w:rsid w:val="00A762F5"/>
    <w:rsid w:val="00AB1015"/>
    <w:rsid w:val="00AB260C"/>
    <w:rsid w:val="00AD0587"/>
    <w:rsid w:val="00AE4FAD"/>
    <w:rsid w:val="00B151AD"/>
    <w:rsid w:val="00B3589F"/>
    <w:rsid w:val="00B46A14"/>
    <w:rsid w:val="00B47A28"/>
    <w:rsid w:val="00B537FB"/>
    <w:rsid w:val="00B70EAE"/>
    <w:rsid w:val="00B71DA4"/>
    <w:rsid w:val="00B86849"/>
    <w:rsid w:val="00B92163"/>
    <w:rsid w:val="00B92B9A"/>
    <w:rsid w:val="00B97146"/>
    <w:rsid w:val="00BC5FE8"/>
    <w:rsid w:val="00BF66FA"/>
    <w:rsid w:val="00BF6CDD"/>
    <w:rsid w:val="00C27A9B"/>
    <w:rsid w:val="00C636AE"/>
    <w:rsid w:val="00C65EA2"/>
    <w:rsid w:val="00C746A9"/>
    <w:rsid w:val="00C9067D"/>
    <w:rsid w:val="00D00472"/>
    <w:rsid w:val="00D065AC"/>
    <w:rsid w:val="00D104AC"/>
    <w:rsid w:val="00D40751"/>
    <w:rsid w:val="00D72705"/>
    <w:rsid w:val="00D743D1"/>
    <w:rsid w:val="00D87FD5"/>
    <w:rsid w:val="00D967EA"/>
    <w:rsid w:val="00DA6154"/>
    <w:rsid w:val="00DB247C"/>
    <w:rsid w:val="00DB4316"/>
    <w:rsid w:val="00DF2713"/>
    <w:rsid w:val="00E27EC4"/>
    <w:rsid w:val="00E32156"/>
    <w:rsid w:val="00E354DA"/>
    <w:rsid w:val="00E526E7"/>
    <w:rsid w:val="00E7264F"/>
    <w:rsid w:val="00E77B9A"/>
    <w:rsid w:val="00E803E1"/>
    <w:rsid w:val="00E8664F"/>
    <w:rsid w:val="00E8760B"/>
    <w:rsid w:val="00E96507"/>
    <w:rsid w:val="00EB2642"/>
    <w:rsid w:val="00EB5D68"/>
    <w:rsid w:val="00EB6EEE"/>
    <w:rsid w:val="00EE3FDB"/>
    <w:rsid w:val="00EE6BD5"/>
    <w:rsid w:val="00F063DE"/>
    <w:rsid w:val="00F1252F"/>
    <w:rsid w:val="00F752B5"/>
    <w:rsid w:val="00F9268F"/>
    <w:rsid w:val="00F947CC"/>
    <w:rsid w:val="00FA454B"/>
    <w:rsid w:val="00FB11DD"/>
    <w:rsid w:val="00FD1D60"/>
    <w:rsid w:val="00FD69E3"/>
    <w:rsid w:val="00FE5270"/>
    <w:rsid w:val="00FE6873"/>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B1906"/>
  <w15:docId w15:val="{96276C98-5886-42EF-9BB0-6358577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character" w:styleId="FollowedHyperlink">
    <w:name w:val="FollowedHyperlink"/>
    <w:basedOn w:val="DefaultParagraphFont"/>
    <w:uiPriority w:val="99"/>
    <w:semiHidden/>
    <w:unhideWhenUsed/>
    <w:rsid w:val="00E8664F"/>
    <w:rPr>
      <w:color w:val="800080" w:themeColor="followedHyperlink"/>
      <w:u w:val="single"/>
    </w:rPr>
  </w:style>
  <w:style w:type="paragraph" w:customStyle="1" w:styleId="GEEABullet1">
    <w:name w:val="GEEA Bullet 1"/>
    <w:basedOn w:val="Normal"/>
    <w:qFormat/>
    <w:rsid w:val="002E7438"/>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49D1-004F-0345-A18B-DA4EBA66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Vicari Vollmar</cp:lastModifiedBy>
  <cp:revision>12</cp:revision>
  <cp:lastPrinted>2016-07-14T15:04:00Z</cp:lastPrinted>
  <dcterms:created xsi:type="dcterms:W3CDTF">2018-08-24T18:04:00Z</dcterms:created>
  <dcterms:modified xsi:type="dcterms:W3CDTF">2018-08-31T20:24:00Z</dcterms:modified>
</cp:coreProperties>
</file>